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 w:themeFill="background1"/>
        <w:spacing w:after="0" w:line="240" w:lineRule="auto"/>
        <w:ind w:right="400"/>
        <w:rPr>
          <w:rFonts w:ascii="Arial" w:hAnsi="Arial" w:eastAsia="Times New Roman" w:cs="Arial"/>
          <w:b/>
          <w:sz w:val="20"/>
          <w:szCs w:val="20"/>
          <w:shd w:val="pct15" w:color="auto" w:fill="ffffff"/>
          <w:lang w:val="sr-Latn-RS"/>
        </w:rPr>
      </w:pPr>
      <w:r>
        <w:rPr>
          <w:rFonts w:ascii="Arial" w:hAnsi="Arial" w:eastAsia="Times New Roman" w:cs="Arial"/>
          <w:b/>
          <w:sz w:val="20"/>
          <w:szCs w:val="20"/>
          <w:shd w:val="pct15" w:color="auto" w:fill="ffffff"/>
          <w:lang w:val="sr-Latn-RS"/>
        </w:rPr>
      </w:r>
      <w:r>
        <w:rPr>
          <w:rFonts w:ascii="Arial" w:hAnsi="Arial" w:eastAsia="Times New Roman" w:cs="Arial"/>
          <w:b/>
          <w:sz w:val="20"/>
          <w:szCs w:val="20"/>
          <w:shd w:val="pct15" w:color="auto" w:fill="ffffff"/>
          <w:lang w:val="sr-Latn-RS"/>
        </w:rPr>
      </w:r>
    </w:p>
    <w:p>
      <w:pPr>
        <w:pBdr/>
        <w:tabs>
          <w:tab w:val="center" w:leader="none" w:pos="4703"/>
          <w:tab w:val="right" w:leader="none" w:pos="9406"/>
        </w:tabs>
        <w:spacing w:after="0" w:line="240" w:lineRule="auto"/>
        <w:ind w:right="400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</w:rPr>
        <w:t xml:space="preserve"> </w:t>
      </w:r>
      <w:r>
        <w:rPr>
          <w:rFonts w:ascii="Arial" w:hAnsi="Arial" w:eastAsia="Times New Roman" w:cs="Arial"/>
          <w:b/>
          <w:sz w:val="20"/>
          <w:szCs w:val="20"/>
        </w:rPr>
        <w:t xml:space="preserve">“Appendix 1</w:t>
      </w:r>
      <w:r>
        <w:rPr>
          <w:rFonts w:ascii="Arial" w:hAnsi="Arial" w:eastAsia="Times New Roman" w:cs="Arial"/>
          <w:b/>
          <w:sz w:val="20"/>
          <w:szCs w:val="20"/>
        </w:rPr>
        <w:t xml:space="preserve">“ to</w:t>
      </w:r>
      <w:r>
        <w:rPr>
          <w:rFonts w:ascii="Arial" w:hAnsi="Arial" w:eastAsia="Times New Roman" w:cs="Arial"/>
          <w:b/>
          <w:sz w:val="20"/>
          <w:szCs w:val="20"/>
        </w:rPr>
        <w:t xml:space="preserve"> the Contract </w:t>
      </w:r>
      <w:permStart w:edGrp="everyone" w:id="268766051"/>
      <w:r>
        <w:rPr>
          <w:rFonts w:ascii="Arial" w:hAnsi="Arial" w:eastAsia="Times New Roman" w:cs="Arial"/>
          <w:sz w:val="20"/>
          <w:szCs w:val="20"/>
        </w:rPr>
        <w:t xml:space="preserve">______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______________</w:t>
      </w:r>
      <w:bookmarkStart w:id="0" w:name="_GoBack"/>
      <w:r/>
      <w:bookmarkEnd w:id="0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__________</w:t>
      </w:r>
      <w:permEnd w:id="268766051"/>
      <w:r>
        <w:rPr>
          <w:rFonts w:ascii="Arial" w:hAnsi="Arial" w:eastAsia="Times New Roman" w:cs="Arial"/>
          <w:sz w:val="20"/>
          <w:szCs w:val="20"/>
          <w:lang w:val="sr-Cyrl-CS"/>
        </w:rPr>
        <w:t xml:space="preserve">;   </w:t>
      </w:r>
      <w:permStart w:edGrp="everyone" w:id="983515565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______________________________</w:t>
      </w:r>
      <w:permEnd w:id="983515565"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center" w:leader="none" w:pos="4703"/>
          <w:tab w:val="right" w:leader="none" w:pos="9406"/>
        </w:tabs>
        <w:spacing w:after="0" w:line="240" w:lineRule="auto"/>
        <w:ind w:right="400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                                       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  <w:lang w:val="en-GB"/>
        </w:rPr>
        <w:t xml:space="preserve">By signing this</w:t>
      </w:r>
      <w:r>
        <w:rPr>
          <w:rFonts w:ascii="Arial" w:hAnsi="Arial" w:eastAsia="Times New Roman" w:cs="Arial"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sz w:val="20"/>
          <w:szCs w:val="20"/>
        </w:rPr>
        <w:t xml:space="preserve">“Appendix 1” which constitutes an integral part to the Contract, the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b/>
          <w:i/>
          <w:sz w:val="20"/>
          <w:szCs w:val="20"/>
          <w:lang w:val="en-GB"/>
        </w:rPr>
        <w:t xml:space="preserve">Contracting Parties</w:t>
      </w:r>
      <w:r>
        <w:rPr>
          <w:rFonts w:ascii="Arial" w:hAnsi="Arial" w:eastAsia="Times New Roman" w:cs="Arial"/>
          <w:sz w:val="20"/>
          <w:szCs w:val="20"/>
          <w:lang w:val="en-GB"/>
        </w:rPr>
        <w:t xml:space="preserve"> specify the</w:t>
      </w:r>
      <w:r>
        <w:rPr>
          <w:rFonts w:ascii="Arial" w:hAnsi="Arial" w:eastAsia="Times New Roman" w:cs="Arial"/>
          <w:sz w:val="20"/>
          <w:szCs w:val="20"/>
        </w:rPr>
        <w:t xml:space="preserve"> scope and price of the Contract, dates of delivery, as well as mutual duties and liabilities of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sz w:val="20"/>
          <w:szCs w:val="20"/>
        </w:rPr>
        <w:t xml:space="preserve">the Contracting Parties. </w:t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</w:rPr>
        <w:t xml:space="preserve">In compliance with the previous paragraph, the </w:t>
      </w:r>
      <w:r>
        <w:rPr>
          <w:rFonts w:ascii="Arial" w:hAnsi="Arial" w:eastAsia="Times New Roman" w:cs="Arial"/>
          <w:b/>
          <w:i/>
          <w:sz w:val="20"/>
          <w:szCs w:val="20"/>
        </w:rPr>
        <w:t xml:space="preserve">Contracting Parties </w:t>
      </w:r>
      <w:r>
        <w:rPr>
          <w:rFonts w:ascii="Arial" w:hAnsi="Arial" w:eastAsia="Times New Roman" w:cs="Arial"/>
          <w:sz w:val="20"/>
          <w:szCs w:val="20"/>
        </w:rPr>
        <w:t xml:space="preserve">hereby agree that the </w:t>
      </w:r>
      <w:r>
        <w:rPr>
          <w:rFonts w:ascii="Arial" w:hAnsi="Arial" w:eastAsia="Times New Roman" w:cs="Arial"/>
          <w:b/>
          <w:sz w:val="20"/>
          <w:szCs w:val="20"/>
        </w:rPr>
        <w:t xml:space="preserve">the</w:t>
      </w:r>
      <w:r>
        <w:rPr>
          <w:rFonts w:ascii="Arial" w:hAnsi="Arial" w:eastAsia="Times New Roman" w:cs="Arial"/>
          <w:b/>
          <w:sz w:val="20"/>
          <w:szCs w:val="20"/>
        </w:rPr>
        <w:t xml:space="preserve"> Seller </w:t>
      </w:r>
      <w:r>
        <w:rPr>
          <w:rFonts w:ascii="Arial" w:hAnsi="Arial" w:eastAsia="Times New Roman" w:cs="Arial"/>
          <w:sz w:val="20"/>
          <w:szCs w:val="20"/>
        </w:rPr>
        <w:t xml:space="preserve">shall be obliged to deliver to the </w:t>
      </w:r>
      <w:r>
        <w:rPr>
          <w:rFonts w:ascii="Arial" w:hAnsi="Arial" w:eastAsia="Times New Roman" w:cs="Arial"/>
          <w:b/>
          <w:sz w:val="20"/>
          <w:szCs w:val="20"/>
        </w:rPr>
        <w:t xml:space="preserve">the</w:t>
      </w:r>
      <w:r>
        <w:rPr>
          <w:rFonts w:ascii="Arial" w:hAnsi="Arial" w:eastAsia="Times New Roman" w:cs="Arial"/>
          <w:b/>
          <w:sz w:val="20"/>
          <w:szCs w:val="20"/>
        </w:rPr>
        <w:t xml:space="preserve"> Buyer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1. </w:t>
      </w:r>
      <w:r>
        <w:rPr>
          <w:rFonts w:ascii="Arial" w:hAnsi="Arial" w:eastAsia="Times New Roman" w:cs="Arial"/>
          <w:b/>
          <w:sz w:val="20"/>
          <w:szCs w:val="20"/>
        </w:rPr>
        <w:t xml:space="preserve">SPECIFICATION</w:t>
      </w:r>
      <w:r>
        <w:rPr>
          <w:rFonts w:ascii="Arial" w:hAnsi="Arial" w:eastAsia="Times New Roman" w:cs="Arial"/>
          <w:b/>
          <w:sz w:val="20"/>
          <w:szCs w:val="20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13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040"/>
        <w:gridCol w:w="1080"/>
        <w:gridCol w:w="1080"/>
        <w:gridCol w:w="1440"/>
        <w:gridCol w:w="1088"/>
        <w:gridCol w:w="1440"/>
        <w:gridCol w:w="1187"/>
      </w:tblGrid>
      <w:tr>
        <w:trPr>
          <w:trHeight w:val="637"/>
        </w:trPr>
        <w:tc>
          <w:tcPr>
            <w:tcBorders/>
            <w:tcW w:w="828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/>
            <w:permStart w:edGrp="everyone" w:id="1388323520"/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No.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  <w:tc>
          <w:tcPr>
            <w:tcBorders/>
            <w:tcW w:w="5040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Goods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Standard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Technical Requirements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Technical Characteristics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Unit of Measure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  <w:tc>
          <w:tcPr>
            <w:tcBorders/>
            <w:tcW w:w="1080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Quantity</w:t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tcBorders/>
            <w:tcW w:w="1440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Unit Price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  <w:tc>
          <w:tcPr>
            <w:tcBorders/>
            <w:tcW w:w="1088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Total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ru-RU"/>
              </w:rPr>
              <w:t xml:space="preserve">amount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  <w:tc>
          <w:tcPr>
            <w:gridSpan w:val="2"/>
            <w:tcBorders/>
            <w:tcW w:w="262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52" w:left="252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Delivery Period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</w:tr>
      <w:tr>
        <w:trPr/>
        <w:tc>
          <w:tcPr>
            <w:tcBorders/>
            <w:tcW w:w="828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5040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8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Quantity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  <w:tc>
          <w:tcPr>
            <w:tcBorders/>
            <w:tcW w:w="11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Delivery Date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</w:tr>
      <w:tr>
        <w:trPr/>
        <w:tc>
          <w:tcPr>
            <w:tcBorders/>
            <w:tcW w:w="82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1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504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2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3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4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5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7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8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18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9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/>
            <w:tcW w:w="828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504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8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18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/>
            <w:tcW w:w="828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504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8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18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/>
            <w:tcW w:w="828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504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8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18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tcBorders/>
            <w:tcW w:w="5868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TOTAL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  <w:tc>
          <w:tcPr>
            <w:tcBorders/>
            <w:tcW w:w="108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088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Х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440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118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permEnd w:id="1388323520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</w:tbl>
    <w:p>
      <w:pPr>
        <w:pBdr/>
        <w:spacing w:after="0" w:line="240" w:lineRule="auto"/>
        <w:ind w:right="-143" w:firstLine="8505"/>
        <w:jc w:val="both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</w:rPr>
        <w:t xml:space="preserve">Currency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:</w:t>
      </w:r>
      <w:permStart w:edGrp="everyone" w:id="107767968"/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 _________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i/>
          <w:sz w:val="20"/>
          <w:szCs w:val="20"/>
        </w:rPr>
        <w:t xml:space="preserve">Remark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: </w:t>
      </w:r>
      <w:r>
        <w:rPr>
          <w:rFonts w:ascii="Arial" w:hAnsi="Arial" w:eastAsia="Times New Roman" w:cs="Arial"/>
          <w:bCs/>
          <w:i/>
          <w:sz w:val="20"/>
          <w:szCs w:val="20"/>
        </w:rPr>
        <w:t xml:space="preserve">deficiency/surplus of Goods is allowed up to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 %. </w:t>
      </w:r>
      <w:r>
        <w:rPr>
          <w:rFonts w:ascii="Arial" w:hAnsi="Arial" w:eastAsia="Times New Roman" w:cs="Arial"/>
          <w:b/>
          <w:bCs/>
          <w:i/>
          <w:sz w:val="20"/>
          <w:szCs w:val="20"/>
          <w:lang w:val="sr-Cyrl-CS"/>
        </w:rPr>
        <w:t xml:space="preserve">(</w:t>
      </w:r>
      <w:r>
        <w:rPr>
          <w:rFonts w:ascii="Arial" w:hAnsi="Arial" w:eastAsia="Times New Roman" w:cs="Arial"/>
          <w:b/>
          <w:bCs/>
          <w:i/>
          <w:sz w:val="20"/>
          <w:szCs w:val="20"/>
        </w:rPr>
        <w:t xml:space="preserve">the provision hereof shall be included according to need, provided the payment for the Goods is made after the Buyer has received the Goods.</w:t>
      </w:r>
      <w:r>
        <w:rPr>
          <w:rFonts w:ascii="Arial" w:hAnsi="Arial" w:eastAsia="Times New Roman" w:cs="Arial"/>
          <w:b/>
          <w:bCs/>
          <w:i/>
          <w:sz w:val="20"/>
          <w:szCs w:val="20"/>
          <w:lang w:val="sr-Cyrl-CS"/>
        </w:rPr>
        <w:t xml:space="preserve">)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.</w:t>
      </w:r>
      <w:permEnd w:id="107767968"/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i/>
          <w:sz w:val="20"/>
          <w:szCs w:val="20"/>
        </w:rPr>
        <w:t xml:space="preserve">The Goods must be new, unused, and not produced before </w:t>
      </w:r>
      <w:permStart w:edGrp="everyone" w:id="1710956081"/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___________________.</w:t>
      </w:r>
      <w:permEnd w:id="1710956081"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Latn-R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2.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</w:rPr>
        <w:t xml:space="preserve">Matters not provided for herein, shall be governed by provisions of the Contract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.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Latn-R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Latn-R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Latn-R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hAnsi="Arial" w:eastAsia="Times New Roman" w:cs="Arial"/>
          <w:bCs/>
          <w:sz w:val="20"/>
          <w:szCs w:val="20"/>
        </w:rPr>
        <w:t xml:space="preserve">The present “Appendix 1” is made in two copies having the equal legal effect, one copy for each Party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Latn-RS"/>
        </w:rPr>
      </w:pPr>
      <w:r>
        <w:rPr>
          <w:rFonts w:ascii="Arial" w:hAnsi="Arial" w:eastAsia="Times New Roman" w:cs="Arial"/>
          <w:bCs/>
          <w:sz w:val="20"/>
          <w:szCs w:val="20"/>
          <w:lang w:val="sr-Latn-RS"/>
        </w:rPr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R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Latn-RS"/>
        </w:rPr>
        <w:t xml:space="preserve">4.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Goods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Manufacturing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specification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is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integral 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part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of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this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Appendix</w:t>
      </w:r>
      <w:r>
        <w:rPr>
          <w:rFonts w:ascii="Arial" w:hAnsi="Arial" w:eastAsia="Times New Roman" w:cs="Arial"/>
          <w:bCs/>
          <w:sz w:val="20"/>
          <w:szCs w:val="20"/>
          <w:lang w:val="sr-Latn-RS"/>
        </w:rPr>
        <w:t xml:space="preserve">.</w:t>
      </w:r>
      <w:r>
        <w:rPr>
          <w:rFonts w:ascii="Arial" w:hAnsi="Arial" w:eastAsia="Times New Roman" w:cs="Arial"/>
          <w:bCs/>
          <w:sz w:val="20"/>
          <w:szCs w:val="20"/>
          <w:lang w:val="sr-Cyrl-R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R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i/>
          <w:sz w:val="20"/>
          <w:szCs w:val="20"/>
          <w:shd w:val="pct15" w:color="auto" w:fill="ffffff"/>
          <w:lang w:val="sr-Cyrl-RS"/>
        </w:rPr>
      </w:pPr>
      <w:r>
        <w:rPr>
          <w:rFonts w:ascii="Arial" w:hAnsi="Arial" w:eastAsia="Times New Roman" w:cs="Arial"/>
          <w:b/>
          <w:bCs/>
          <w:i/>
          <w:sz w:val="20"/>
          <w:szCs w:val="20"/>
          <w:shd w:val="pct15" w:color="auto" w:fill="ffffff"/>
          <w:lang w:val="sr-Cyrl-RS"/>
        </w:rPr>
      </w:r>
      <w:r>
        <w:rPr>
          <w:rFonts w:ascii="Arial" w:hAnsi="Arial" w:eastAsia="Times New Roman" w:cs="Arial"/>
          <w:b/>
          <w:bCs/>
          <w:i/>
          <w:sz w:val="20"/>
          <w:szCs w:val="20"/>
          <w:shd w:val="pct15" w:color="auto" w:fill="ffffff"/>
          <w:lang w:val="sr-Cyrl-R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Latn-RS"/>
        </w:rPr>
      </w:pPr>
      <w:r>
        <w:rPr>
          <w:rFonts w:ascii="Arial" w:hAnsi="Arial" w:eastAsia="Times New Roman" w:cs="Arial"/>
          <w:sz w:val="20"/>
          <w:szCs w:val="20"/>
          <w:lang w:val="sr-Latn-RS"/>
        </w:rPr>
      </w:r>
      <w:r>
        <w:rPr>
          <w:rFonts w:ascii="Arial" w:hAnsi="Arial" w:eastAsia="Times New Roman" w:cs="Arial"/>
          <w:sz w:val="20"/>
          <w:szCs w:val="20"/>
          <w:lang w:val="sr-Latn-R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</w:rPr>
        <w:t xml:space="preserve">SIGNATURES OF THE CONTRACTING PARTIES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: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13089" w:type="dxa"/>
        <w:tblBorders/>
        <w:tblLook w:val="01E0" w:firstRow="1" w:lastRow="1" w:firstColumn="1" w:lastColumn="1" w:noHBand="0" w:noVBand="0"/>
      </w:tblPr>
      <w:tblGrid>
        <w:gridCol w:w="6558"/>
        <w:gridCol w:w="6531"/>
      </w:tblGrid>
      <w:tr>
        <w:trPr>
          <w:trHeight w:val="412"/>
        </w:trPr>
        <w:tc>
          <w:tcPr>
            <w:tcBorders/>
            <w:tcW w:w="6558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firstLine="567"/>
              <w:jc w:val="both"/>
              <w:rPr>
                <w:rFonts w:ascii="Arial" w:hAnsi="Arial" w:eastAsia="Times New Roman" w:cs="Arial"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</w:rPr>
              <w:t xml:space="preserve">On behalf of the Buyer</w:t>
            </w:r>
            <w:r>
              <w:rPr>
                <w:rFonts w:ascii="Arial" w:hAnsi="Arial" w:eastAsia="Times New Roman" w:cs="Arial"/>
                <w:bCs/>
                <w:sz w:val="20"/>
                <w:szCs w:val="20"/>
              </w:rPr>
            </w:r>
          </w:p>
          <w:p>
            <w:pPr>
              <w:pBdr/>
              <w:spacing w:after="0" w:line="240" w:lineRule="auto"/>
              <w:ind w:right="-143" w:firstLine="90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653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firstLine="567"/>
              <w:jc w:val="both"/>
              <w:rPr>
                <w:rFonts w:ascii="Arial" w:hAnsi="Arial" w:eastAsia="Times New Roman" w:cs="Arial"/>
                <w:bCs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</w:rPr>
              <w:t xml:space="preserve">On behalf of the Seller</w:t>
            </w:r>
            <w:r>
              <w:rPr>
                <w:rFonts w:ascii="Arial" w:hAnsi="Arial" w:eastAsia="Times New Roman" w:cs="Arial"/>
                <w:bCs/>
                <w:sz w:val="20"/>
                <w:szCs w:val="20"/>
              </w:rPr>
            </w:r>
          </w:p>
          <w:p>
            <w:pPr>
              <w:pBdr/>
              <w:spacing w:after="0" w:line="240" w:lineRule="auto"/>
              <w:ind w:right="-143" w:firstLine="784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  <w:tr>
        <w:trPr>
          <w:trHeight w:val="202"/>
        </w:trPr>
        <w:tc>
          <w:tcPr>
            <w:tcBorders/>
            <w:tcW w:w="6558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firstLine="90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653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firstLine="784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>
          <w:trHeight w:val="210"/>
        </w:trPr>
        <w:tc>
          <w:tcPr>
            <w:tcBorders/>
            <w:tcW w:w="6558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/>
            <w:permStart w:colFirst="0" w:colLast="0" w:edGrp="everyone" w:id="693309531"/>
            <w:r/>
            <w:permStart w:colFirst="1" w:colLast="1" w:edGrp="everyone" w:id="1969622586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               ______________________ /________________/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653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             _____________________ /________________/</w:t>
            </w:r>
            <w:permEnd w:id="693309531"/>
            <w:permEnd w:id="1969622586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</w:tbl>
    <w:p>
      <w:pPr>
        <w:pBdr/>
        <w:spacing/>
        <w:ind/>
        <w:rPr/>
      </w:pPr>
      <w:r/>
      <w:r/>
    </w:p>
    <w:sectPr>
      <w:headerReference w:type="default" r:id="rId8"/>
      <w:footerReference w:type="default" r:id="rId9"/>
      <w:footnotePr/>
      <w:endnotePr/>
      <w:type w:val="nextPage"/>
      <w:pgSz w:h="12240" w:orient="landscape" w:w="15840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2"/>
      <w:pBdr/>
      <w:tabs>
        <w:tab w:val="left" w:leader="none" w:pos="990"/>
        <w:tab w:val="center" w:leader="none" w:pos="6503"/>
      </w:tabs>
      <w:spacing w:after="120" w:before="120"/>
      <w:ind/>
      <w:rPr>
        <w:rFonts w:ascii="Arial" w:hAnsi="Arial" w:cs="Arial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 xml:space="preserve">ТФУ</w:t>
    </w:r>
    <w:r>
      <w:rPr>
        <w:rFonts w:ascii="Arial" w:hAnsi="Arial" w:cs="Arial"/>
        <w:color w:val="000000"/>
        <w:sz w:val="20"/>
        <w:szCs w:val="20"/>
        <w:lang w:val="sr-Latn-RS"/>
      </w:rPr>
      <w:t xml:space="preserve">-</w:t>
    </w:r>
    <w:r>
      <w:rPr>
        <w:rFonts w:ascii="Arial" w:hAnsi="Arial" w:cs="Arial"/>
        <w:color w:val="000000"/>
        <w:sz w:val="20"/>
        <w:szCs w:val="20"/>
        <w:lang w:val="sr-Cyrl-RS"/>
      </w:rPr>
      <w:t xml:space="preserve">ХИПП</w:t>
    </w:r>
    <w:r>
      <w:rPr>
        <w:rFonts w:ascii="Arial" w:hAnsi="Arial" w:cs="Arial"/>
        <w:color w:val="000000"/>
        <w:sz w:val="20"/>
        <w:szCs w:val="20"/>
        <w:lang w:val="sr-Latn-RS"/>
      </w:rPr>
      <w:t xml:space="preserve">-</w:t>
    </w:r>
    <w:r>
      <w:rPr>
        <w:rFonts w:ascii="Arial" w:hAnsi="Arial" w:cs="Arial"/>
        <w:color w:val="000000"/>
        <w:sz w:val="20"/>
        <w:szCs w:val="20"/>
        <w:lang w:val="sr-Cyrl-RS"/>
      </w:rPr>
      <w:t xml:space="preserve">8</w:t>
    </w:r>
    <w:r>
      <w:rPr>
        <w:rFonts w:ascii="Arial" w:hAnsi="Arial" w:cs="Arial"/>
        <w:color w:val="000000"/>
        <w:sz w:val="20"/>
        <w:szCs w:val="20"/>
        <w:lang w:val="sr-Latn-RS"/>
      </w:rPr>
      <w:t xml:space="preserve">, </w:t>
    </w:r>
    <w:r>
      <w:rPr>
        <w:rFonts w:ascii="Arial" w:hAnsi="Arial" w:cs="Arial"/>
        <w:color w:val="000000"/>
        <w:sz w:val="20"/>
        <w:szCs w:val="20"/>
      </w:rPr>
      <w:t xml:space="preserve">верзија</w:t>
    </w:r>
    <w:r>
      <w:rPr>
        <w:rFonts w:ascii="Arial" w:hAnsi="Arial" w:cs="Arial"/>
        <w:color w:val="000000"/>
        <w:sz w:val="20"/>
        <w:szCs w:val="20"/>
        <w:lang w:val="sr-Latn-RS"/>
      </w:rPr>
      <w:t xml:space="preserve">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Latn-RS"/>
      </w:rPr>
      <w:t xml:space="preserve"> </w:t>
    </w:r>
    <w:r>
      <w:rPr>
        <w:rFonts w:ascii="Arial" w:hAnsi="Arial" w:cs="Arial"/>
        <w:sz w:val="20"/>
        <w:szCs w:val="20"/>
        <w:lang w:val="sr-Latn-RS"/>
      </w:rPr>
      <w:tab/>
    </w:r>
    <w:r>
      <w:rPr>
        <w:rFonts w:ascii="Arial" w:hAnsi="Arial" w:cs="Arial"/>
        <w:sz w:val="20"/>
        <w:szCs w:val="20"/>
        <w:lang w:val="sr-Latn-RS"/>
      </w:rPr>
      <w:tab/>
    </w:r>
    <w:r>
      <w:rPr>
        <w:rFonts w:ascii="Arial" w:hAnsi="Arial" w:cs="Arial"/>
        <w:sz w:val="20"/>
        <w:szCs w:val="20"/>
        <w:lang w:val="sr-Latn-RS"/>
      </w:rPr>
      <w:tab/>
    </w:r>
    <w:r>
      <w:rPr>
        <w:rFonts w:ascii="Arial" w:hAnsi="Arial" w:cs="Arial"/>
        <w:sz w:val="20"/>
        <w:szCs w:val="20"/>
        <w:lang w:val="sr-Latn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772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0"/>
      <w:pBdr/>
      <w:tabs>
        <w:tab w:val="clear" w:leader="none" w:pos="4703"/>
        <w:tab w:val="left" w:leader="none" w:pos="8280"/>
      </w:tabs>
      <w:spacing/>
      <w:ind w:firstLine="7788"/>
      <w:rPr/>
    </w:pPr>
    <w:r>
      <w:rPr>
        <w:lang w:val="sr-Latn-RS" w:eastAsia="sr-Latn-RS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-219075</wp:posOffset>
              </wp:positionV>
              <wp:extent cx="1814195" cy="451485"/>
              <wp:effectExtent l="0" t="0" r="0" b="5715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2312085" name="Picture 1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14195" cy="4514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1312;o:allowoverlap:true;o:allowincell:true;mso-position-horizontal-relative:margin;mso-position-horizontal:left;mso-position-vertical-relative:text;margin-top:-17.25pt;mso-position-vertical:absolute;width:142.85pt;height:35.55pt;mso-wrap-distance-left:9.00pt;mso-wrap-distance-top:0.00pt;mso-wrap-distance-right:9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sz w:val="20"/>
        <w:szCs w:val="16"/>
      </w:rPr>
      <w:t xml:space="preserve">                                                               </w:t>
    </w:r>
    <w:r>
      <w:rPr>
        <w:rFonts w:ascii="Arial" w:hAnsi="Arial" w:cs="Arial"/>
        <w:i/>
        <w:sz w:val="20"/>
        <w:szCs w:val="16"/>
      </w:rPr>
      <w:t xml:space="preserve">Типска</w:t>
    </w:r>
    <w:r>
      <w:rPr>
        <w:rFonts w:ascii="Arial" w:hAnsi="Arial" w:cs="Arial"/>
        <w:i/>
        <w:sz w:val="20"/>
        <w:szCs w:val="16"/>
      </w:rPr>
      <w:t xml:space="preserve"> </w:t>
    </w:r>
    <w:r>
      <w:rPr>
        <w:rFonts w:ascii="Arial" w:hAnsi="Arial" w:cs="Arial"/>
        <w:i/>
        <w:sz w:val="20"/>
        <w:szCs w:val="16"/>
      </w:rPr>
      <w:t xml:space="preserve">форма</w:t>
    </w:r>
    <w:r/>
  </w:p>
  <w:p>
    <w:pPr>
      <w:pStyle w:val="770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FbKH1Jdyuimev8PENsbNCaTVQEvGu6obPCBWsGxAM5HFUN/xINxY+IhKNm57vwDAt8rBwzBCRxP49YPq8CH8vg==" w:salt="ajpRPvWYm8OckOcRvEAuEg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76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76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6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6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66"/>
    <w:next w:val="766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66"/>
    <w:next w:val="766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766"/>
    <w:next w:val="766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766"/>
    <w:next w:val="766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66"/>
    <w:next w:val="766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66"/>
    <w:next w:val="766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66"/>
    <w:next w:val="766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66"/>
    <w:next w:val="766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66"/>
    <w:next w:val="766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6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6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67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67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67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67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67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6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67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66"/>
    <w:next w:val="766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67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66"/>
    <w:next w:val="766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67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66"/>
    <w:next w:val="766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67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766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7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66"/>
    <w:next w:val="766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67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66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67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67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766"/>
    <w:next w:val="76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66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67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67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66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67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67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66"/>
    <w:next w:val="766"/>
    <w:uiPriority w:val="39"/>
    <w:unhideWhenUsed/>
    <w:pPr>
      <w:pBdr/>
      <w:spacing w:after="100"/>
      <w:ind/>
    </w:pPr>
  </w:style>
  <w:style w:type="paragraph" w:styleId="190">
    <w:name w:val="toc 2"/>
    <w:basedOn w:val="766"/>
    <w:next w:val="766"/>
    <w:uiPriority w:val="39"/>
    <w:unhideWhenUsed/>
    <w:pPr>
      <w:pBdr/>
      <w:spacing w:after="100"/>
      <w:ind w:left="220"/>
    </w:pPr>
  </w:style>
  <w:style w:type="paragraph" w:styleId="191">
    <w:name w:val="toc 3"/>
    <w:basedOn w:val="766"/>
    <w:next w:val="766"/>
    <w:uiPriority w:val="39"/>
    <w:unhideWhenUsed/>
    <w:pPr>
      <w:pBdr/>
      <w:spacing w:after="100"/>
      <w:ind w:left="440"/>
    </w:pPr>
  </w:style>
  <w:style w:type="paragraph" w:styleId="192">
    <w:name w:val="toc 4"/>
    <w:basedOn w:val="766"/>
    <w:next w:val="766"/>
    <w:uiPriority w:val="39"/>
    <w:unhideWhenUsed/>
    <w:pPr>
      <w:pBdr/>
      <w:spacing w:after="100"/>
      <w:ind w:left="660"/>
    </w:pPr>
  </w:style>
  <w:style w:type="paragraph" w:styleId="193">
    <w:name w:val="toc 5"/>
    <w:basedOn w:val="766"/>
    <w:next w:val="766"/>
    <w:uiPriority w:val="39"/>
    <w:unhideWhenUsed/>
    <w:pPr>
      <w:pBdr/>
      <w:spacing w:after="100"/>
      <w:ind w:left="880"/>
    </w:pPr>
  </w:style>
  <w:style w:type="paragraph" w:styleId="194">
    <w:name w:val="toc 6"/>
    <w:basedOn w:val="766"/>
    <w:next w:val="766"/>
    <w:uiPriority w:val="39"/>
    <w:unhideWhenUsed/>
    <w:pPr>
      <w:pBdr/>
      <w:spacing w:after="100"/>
      <w:ind w:left="1100"/>
    </w:pPr>
  </w:style>
  <w:style w:type="paragraph" w:styleId="195">
    <w:name w:val="toc 7"/>
    <w:basedOn w:val="766"/>
    <w:next w:val="766"/>
    <w:uiPriority w:val="39"/>
    <w:unhideWhenUsed/>
    <w:pPr>
      <w:pBdr/>
      <w:spacing w:after="100"/>
      <w:ind w:left="1320"/>
    </w:pPr>
  </w:style>
  <w:style w:type="paragraph" w:styleId="196">
    <w:name w:val="toc 8"/>
    <w:basedOn w:val="766"/>
    <w:next w:val="766"/>
    <w:uiPriority w:val="39"/>
    <w:unhideWhenUsed/>
    <w:pPr>
      <w:pBdr/>
      <w:spacing w:after="100"/>
      <w:ind w:left="1540"/>
    </w:pPr>
  </w:style>
  <w:style w:type="paragraph" w:styleId="197">
    <w:name w:val="toc 9"/>
    <w:basedOn w:val="766"/>
    <w:next w:val="766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67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66"/>
    <w:next w:val="766"/>
    <w:uiPriority w:val="99"/>
    <w:unhideWhenUsed/>
    <w:pPr>
      <w:pBdr/>
      <w:spacing w:after="0" w:afterAutospacing="0"/>
      <w:ind/>
    </w:pPr>
  </w:style>
  <w:style w:type="paragraph" w:styleId="766" w:default="1">
    <w:name w:val="Normal"/>
    <w:qFormat/>
    <w:pPr>
      <w:pBdr/>
      <w:spacing/>
      <w:ind/>
    </w:pPr>
    <w:rPr>
      <w:lang w:val="en-US"/>
    </w:rPr>
  </w:style>
  <w:style w:type="character" w:styleId="767" w:default="1">
    <w:name w:val="Default Paragraph Font"/>
    <w:uiPriority w:val="1"/>
    <w:semiHidden/>
    <w:unhideWhenUsed/>
    <w:pPr>
      <w:pBdr/>
      <w:spacing/>
      <w:ind/>
    </w:pPr>
  </w:style>
  <w:style w:type="table" w:styleId="76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9" w:default="1">
    <w:name w:val="No List"/>
    <w:uiPriority w:val="99"/>
    <w:semiHidden/>
    <w:unhideWhenUsed/>
    <w:pPr>
      <w:pBdr/>
      <w:spacing/>
      <w:ind/>
    </w:pPr>
  </w:style>
  <w:style w:type="paragraph" w:styleId="770">
    <w:name w:val="Header"/>
    <w:basedOn w:val="766"/>
    <w:link w:val="771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771" w:customStyle="1">
    <w:name w:val="Header Char"/>
    <w:basedOn w:val="767"/>
    <w:link w:val="770"/>
    <w:uiPriority w:val="99"/>
    <w:pPr>
      <w:pBdr/>
      <w:spacing/>
      <w:ind/>
    </w:pPr>
    <w:rPr>
      <w:lang w:val="en-US"/>
    </w:rPr>
  </w:style>
  <w:style w:type="paragraph" w:styleId="772">
    <w:name w:val="Footer"/>
    <w:basedOn w:val="766"/>
    <w:link w:val="773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773" w:customStyle="1">
    <w:name w:val="Footer Char"/>
    <w:basedOn w:val="767"/>
    <w:link w:val="772"/>
    <w:uiPriority w:val="99"/>
    <w:pPr>
      <w:pBdr/>
      <w:spacing/>
      <w:ind/>
    </w:pPr>
    <w:rPr>
      <w:lang w:val="en-US"/>
    </w:rPr>
  </w:style>
  <w:style w:type="character" w:styleId="774">
    <w:name w:val="annotation reference"/>
    <w:basedOn w:val="767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775">
    <w:name w:val="annotation text"/>
    <w:basedOn w:val="766"/>
    <w:link w:val="776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776" w:customStyle="1">
    <w:name w:val="Comment Text Char"/>
    <w:basedOn w:val="767"/>
    <w:link w:val="775"/>
    <w:uiPriority w:val="99"/>
    <w:semiHidden/>
    <w:pPr>
      <w:pBdr/>
      <w:spacing/>
      <w:ind/>
    </w:pPr>
    <w:rPr>
      <w:sz w:val="20"/>
      <w:szCs w:val="20"/>
      <w:lang w:val="en-US"/>
    </w:rPr>
  </w:style>
  <w:style w:type="paragraph" w:styleId="777">
    <w:name w:val="annotation subject"/>
    <w:basedOn w:val="775"/>
    <w:next w:val="775"/>
    <w:link w:val="778"/>
    <w:uiPriority w:val="99"/>
    <w:semiHidden/>
    <w:unhideWhenUsed/>
    <w:pPr>
      <w:pBdr/>
      <w:spacing/>
      <w:ind/>
    </w:pPr>
    <w:rPr>
      <w:b/>
      <w:bCs/>
    </w:rPr>
  </w:style>
  <w:style w:type="character" w:styleId="778" w:customStyle="1">
    <w:name w:val="Comment Subject Char"/>
    <w:basedOn w:val="776"/>
    <w:link w:val="777"/>
    <w:uiPriority w:val="99"/>
    <w:semiHidden/>
    <w:pPr>
      <w:pBdr/>
      <w:spacing/>
      <w:ind/>
    </w:pPr>
    <w:rPr>
      <w:b/>
      <w:bCs/>
      <w:sz w:val="20"/>
      <w:szCs w:val="20"/>
      <w:lang w:val="en-US"/>
    </w:rPr>
  </w:style>
  <w:style w:type="paragraph" w:styleId="779">
    <w:name w:val="Balloon Text"/>
    <w:basedOn w:val="766"/>
    <w:link w:val="780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780" w:customStyle="1">
    <w:name w:val="Balloon Text Char"/>
    <w:basedOn w:val="767"/>
    <w:link w:val="779"/>
    <w:uiPriority w:val="99"/>
    <w:semiHidden/>
    <w:pPr>
      <w:pBdr/>
      <w:spacing/>
      <w:ind/>
    </w:pPr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M.Dosen</dc:creator>
  <cp:keywords>Klasifikacija: За компанијску употребу/For use in company</cp:keywords>
  <dc:description/>
  <cp:lastModifiedBy>G1 Nataša Perović</cp:lastModifiedBy>
  <cp:revision>4</cp:revision>
  <dcterms:created xsi:type="dcterms:W3CDTF">2024-09-27T11:54:00Z</dcterms:created>
  <dcterms:modified xsi:type="dcterms:W3CDTF">2026-06-09T09:09:33Z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91175993-0234-4014-a33d-fa14ea9f8040</vt:lpwstr>
  </property>
  <property fmtid="{D5CDD505-2E9C-101B-9397-08002B2CF9AE}" pid="3" name="Klasifikacija">
    <vt:lpwstr>Za-internu-upotrebu-Restricted</vt:lpwstr>
  </property>
</Properties>
</file>